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810DA7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81000" y="266700"/>
            <wp:positionH relativeFrom="column">
              <wp:align>left</wp:align>
            </wp:positionH>
            <wp:positionV relativeFrom="paragraph">
              <wp:align>top</wp:align>
            </wp:positionV>
            <wp:extent cx="7877175" cy="11125200"/>
            <wp:effectExtent l="1638300" t="0" r="16287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77175" cy="1112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BF73D2" w:rsidRDefault="0009556C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b/>
          <w:sz w:val="28"/>
          <w:szCs w:val="28"/>
        </w:rPr>
        <w:t>Тпиг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BF73D2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3A01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5631F3"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b/>
          <w:sz w:val="28"/>
          <w:szCs w:val="28"/>
        </w:rPr>
        <w:t>ТПИГ</w:t>
      </w:r>
      <w:r w:rsidR="005631F3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lastRenderedPageBreak/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E958F6" w:rsidRPr="00395014">
        <w:rPr>
          <w:rFonts w:ascii="Times New Roman" w:hAnsi="Times New Roman" w:cs="Times New Roman"/>
          <w:sz w:val="28"/>
          <w:szCs w:val="28"/>
        </w:rPr>
        <w:t>ская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E6234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D54310">
        <w:rPr>
          <w:rFonts w:ascii="Times New Roman" w:hAnsi="Times New Roman" w:cs="Times New Roman"/>
          <w:sz w:val="28"/>
          <w:szCs w:val="28"/>
        </w:rPr>
        <w:t>Дзю-до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sz w:val="28"/>
          <w:szCs w:val="28"/>
        </w:rPr>
        <w:t>Тпиг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b/>
          <w:sz w:val="28"/>
          <w:szCs w:val="28"/>
        </w:rPr>
        <w:t>ТПИГ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Природолюбия»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лок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b/>
          <w:sz w:val="28"/>
          <w:szCs w:val="28"/>
        </w:rPr>
        <w:t>ТПИГ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456A82">
        <w:rPr>
          <w:rFonts w:ascii="Times New Roman" w:hAnsi="Times New Roman" w:cs="Times New Roman"/>
          <w:b/>
          <w:sz w:val="28"/>
          <w:szCs w:val="28"/>
        </w:rPr>
        <w:t>ТПИГ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Дню начала блокады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ко </w:t>
            </w: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BF73D2">
      <w:footerReference w:type="default" r:id="rId9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8CE" w:rsidRDefault="00B848CE" w:rsidP="00DD4C43">
      <w:pPr>
        <w:spacing w:after="0" w:line="240" w:lineRule="auto"/>
      </w:pPr>
      <w:r>
        <w:separator/>
      </w:r>
    </w:p>
  </w:endnote>
  <w:endnote w:type="continuationSeparator" w:id="1">
    <w:p w:rsidR="00B848CE" w:rsidRDefault="00B848CE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8CE" w:rsidRDefault="00B848CE" w:rsidP="00DD4C43">
      <w:pPr>
        <w:spacing w:after="0" w:line="240" w:lineRule="auto"/>
      </w:pPr>
      <w:r>
        <w:separator/>
      </w:r>
    </w:p>
  </w:footnote>
  <w:footnote w:type="continuationSeparator" w:id="1">
    <w:p w:rsidR="00B848CE" w:rsidRDefault="00B848CE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B5B7B"/>
    <w:rsid w:val="000D3E13"/>
    <w:rsid w:val="000F0747"/>
    <w:rsid w:val="000F5AA7"/>
    <w:rsid w:val="00103361"/>
    <w:rsid w:val="001176F8"/>
    <w:rsid w:val="0015076A"/>
    <w:rsid w:val="00151AB2"/>
    <w:rsid w:val="00155EF1"/>
    <w:rsid w:val="001570B0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2075ED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6242"/>
    <w:rsid w:val="002B29B3"/>
    <w:rsid w:val="002C4D60"/>
    <w:rsid w:val="002E4495"/>
    <w:rsid w:val="002E7E59"/>
    <w:rsid w:val="002F359F"/>
    <w:rsid w:val="00307B58"/>
    <w:rsid w:val="00321BE4"/>
    <w:rsid w:val="00361FD7"/>
    <w:rsid w:val="00375C51"/>
    <w:rsid w:val="00391FAB"/>
    <w:rsid w:val="00394010"/>
    <w:rsid w:val="00394DD9"/>
    <w:rsid w:val="00395014"/>
    <w:rsid w:val="00395C41"/>
    <w:rsid w:val="003A1331"/>
    <w:rsid w:val="003A177D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6A82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72470"/>
    <w:rsid w:val="006867BB"/>
    <w:rsid w:val="00687827"/>
    <w:rsid w:val="00693329"/>
    <w:rsid w:val="006A0AE2"/>
    <w:rsid w:val="006A1630"/>
    <w:rsid w:val="006B1D3A"/>
    <w:rsid w:val="006D79B0"/>
    <w:rsid w:val="006F0452"/>
    <w:rsid w:val="006F0E2C"/>
    <w:rsid w:val="006F2607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C6425"/>
    <w:rsid w:val="007E57A6"/>
    <w:rsid w:val="007E7378"/>
    <w:rsid w:val="007F3D67"/>
    <w:rsid w:val="00810DA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54D06"/>
    <w:rsid w:val="0086546D"/>
    <w:rsid w:val="00865875"/>
    <w:rsid w:val="0087044C"/>
    <w:rsid w:val="00875069"/>
    <w:rsid w:val="008775BB"/>
    <w:rsid w:val="008827AF"/>
    <w:rsid w:val="00884B92"/>
    <w:rsid w:val="008919A6"/>
    <w:rsid w:val="00892685"/>
    <w:rsid w:val="008A0FE3"/>
    <w:rsid w:val="008C2A98"/>
    <w:rsid w:val="008E4DC9"/>
    <w:rsid w:val="00903894"/>
    <w:rsid w:val="0090476E"/>
    <w:rsid w:val="00911142"/>
    <w:rsid w:val="0091603A"/>
    <w:rsid w:val="00917302"/>
    <w:rsid w:val="00921675"/>
    <w:rsid w:val="009238F3"/>
    <w:rsid w:val="00926493"/>
    <w:rsid w:val="00941ADA"/>
    <w:rsid w:val="00945205"/>
    <w:rsid w:val="00964C30"/>
    <w:rsid w:val="00965965"/>
    <w:rsid w:val="0096626C"/>
    <w:rsid w:val="009828E3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A26FEC"/>
    <w:rsid w:val="00A3043A"/>
    <w:rsid w:val="00A30A10"/>
    <w:rsid w:val="00A314DA"/>
    <w:rsid w:val="00A37F07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35230"/>
    <w:rsid w:val="00B36650"/>
    <w:rsid w:val="00B46467"/>
    <w:rsid w:val="00B52D22"/>
    <w:rsid w:val="00B62F28"/>
    <w:rsid w:val="00B63573"/>
    <w:rsid w:val="00B73887"/>
    <w:rsid w:val="00B848CE"/>
    <w:rsid w:val="00B93BA8"/>
    <w:rsid w:val="00BA7682"/>
    <w:rsid w:val="00BB786D"/>
    <w:rsid w:val="00BC459C"/>
    <w:rsid w:val="00BD5EAF"/>
    <w:rsid w:val="00BE3B4E"/>
    <w:rsid w:val="00BF3B8B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41C5"/>
    <w:rsid w:val="00CE6013"/>
    <w:rsid w:val="00CE6406"/>
    <w:rsid w:val="00D00BD8"/>
    <w:rsid w:val="00D01456"/>
    <w:rsid w:val="00D32049"/>
    <w:rsid w:val="00D32D8B"/>
    <w:rsid w:val="00D42881"/>
    <w:rsid w:val="00D54310"/>
    <w:rsid w:val="00D724B4"/>
    <w:rsid w:val="00D73490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62D60"/>
    <w:rsid w:val="00F71342"/>
    <w:rsid w:val="00F72052"/>
    <w:rsid w:val="00F739DE"/>
    <w:rsid w:val="00F7683F"/>
    <w:rsid w:val="00FA4908"/>
    <w:rsid w:val="00FA6CBE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4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0F8C-835B-4A52-8111-04DE985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77</Pages>
  <Words>19554</Words>
  <Characters>111458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Админ-09</cp:lastModifiedBy>
  <cp:revision>46</cp:revision>
  <cp:lastPrinted>2021-05-25T13:46:00Z</cp:lastPrinted>
  <dcterms:created xsi:type="dcterms:W3CDTF">2021-07-05T08:00:00Z</dcterms:created>
  <dcterms:modified xsi:type="dcterms:W3CDTF">2021-07-06T08:57:00Z</dcterms:modified>
</cp:coreProperties>
</file>